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2D" w:rsidRDefault="00BB5983" w:rsidP="00BB5983">
      <w:pPr>
        <w:ind w:right="-108"/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Anexa nr. 1  </w:t>
      </w:r>
    </w:p>
    <w:p w:rsidR="00BB5983" w:rsidRDefault="00BB5983" w:rsidP="00BB5983">
      <w:pPr>
        <w:ind w:right="-108"/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la contract prestării servicii </w:t>
      </w:r>
      <w:r w:rsidR="0027342D">
        <w:rPr>
          <w:sz w:val="22"/>
          <w:szCs w:val="22"/>
          <w:lang w:val="ro-RO"/>
        </w:rPr>
        <w:t>nr. _____________</w:t>
      </w:r>
    </w:p>
    <w:p w:rsidR="0027342D" w:rsidRPr="0062416E" w:rsidRDefault="0027342D" w:rsidP="00BB5983">
      <w:pPr>
        <w:ind w:right="-108"/>
        <w:jc w:val="right"/>
        <w:rPr>
          <w:sz w:val="22"/>
          <w:szCs w:val="22"/>
          <w:lang w:val="ro-RO"/>
        </w:rPr>
      </w:pPr>
    </w:p>
    <w:p w:rsidR="00BB5983" w:rsidRPr="0062416E" w:rsidRDefault="00BB5983" w:rsidP="00BB5983">
      <w:pPr>
        <w:jc w:val="both"/>
        <w:rPr>
          <w:sz w:val="22"/>
          <w:szCs w:val="22"/>
          <w:lang w:val="ro-RO"/>
        </w:rPr>
      </w:pPr>
    </w:p>
    <w:p w:rsidR="00794533" w:rsidRDefault="00BB5983" w:rsidP="00BB5983">
      <w:pPr>
        <w:jc w:val="center"/>
        <w:rPr>
          <w:b/>
          <w:sz w:val="22"/>
          <w:szCs w:val="22"/>
          <w:lang w:val="ro-RO"/>
        </w:rPr>
      </w:pPr>
      <w:r w:rsidRPr="0062416E">
        <w:rPr>
          <w:b/>
          <w:sz w:val="22"/>
          <w:szCs w:val="22"/>
          <w:lang w:val="ro-RO"/>
        </w:rPr>
        <w:t xml:space="preserve">OFERTA </w:t>
      </w:r>
    </w:p>
    <w:p w:rsidR="00BB5983" w:rsidRDefault="00794533" w:rsidP="00BB5983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PENTRU SERVICII</w:t>
      </w:r>
      <w:r w:rsidR="00BB5983" w:rsidRPr="0062416E">
        <w:rPr>
          <w:b/>
          <w:sz w:val="22"/>
          <w:szCs w:val="22"/>
          <w:lang w:val="ro-RO"/>
        </w:rPr>
        <w:t xml:space="preserve"> VETERINARE</w:t>
      </w:r>
    </w:p>
    <w:p w:rsidR="00BB5983" w:rsidRDefault="00BB5983" w:rsidP="00BB5983"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E</w:t>
      </w:r>
      <w:r w:rsidRPr="0062416E">
        <w:rPr>
          <w:b/>
          <w:sz w:val="22"/>
          <w:szCs w:val="22"/>
          <w:lang w:val="ro-RO"/>
        </w:rPr>
        <w:t xml:space="preserve">ste formată din: </w:t>
      </w:r>
    </w:p>
    <w:p w:rsidR="00D02224" w:rsidRPr="004B50E8" w:rsidRDefault="00D02224" w:rsidP="00D02224">
      <w:p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1.</w:t>
      </w:r>
      <w:r w:rsidRPr="004B50E8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Ofertă totală  de preț </w:t>
      </w:r>
      <w:r w:rsidRPr="004B50E8">
        <w:rPr>
          <w:sz w:val="22"/>
          <w:szCs w:val="22"/>
          <w:lang w:val="ro-RO"/>
        </w:rPr>
        <w:t xml:space="preserve"> </w:t>
      </w:r>
      <w:r w:rsidRPr="0062416E">
        <w:rPr>
          <w:sz w:val="22"/>
          <w:szCs w:val="22"/>
          <w:lang w:val="ro-RO"/>
        </w:rPr>
        <w:t>pentru prestarea</w:t>
      </w:r>
      <w:r>
        <w:rPr>
          <w:sz w:val="22"/>
          <w:szCs w:val="22"/>
          <w:lang w:val="ro-RO"/>
        </w:rPr>
        <w:t xml:space="preserve"> </w:t>
      </w:r>
      <w:r w:rsidRPr="0062416E">
        <w:rPr>
          <w:sz w:val="22"/>
          <w:szCs w:val="22"/>
          <w:lang w:val="ro-RO"/>
        </w:rPr>
        <w:t xml:space="preserve"> </w:t>
      </w:r>
      <w:r>
        <w:rPr>
          <w:b/>
          <w:i/>
          <w:sz w:val="22"/>
          <w:szCs w:val="22"/>
          <w:lang w:val="ro-RO"/>
        </w:rPr>
        <w:t>S</w:t>
      </w:r>
      <w:r w:rsidRPr="004B50E8">
        <w:rPr>
          <w:b/>
          <w:i/>
          <w:sz w:val="22"/>
          <w:szCs w:val="22"/>
          <w:lang w:val="ro-RO"/>
        </w:rPr>
        <w:t>erviciilor veterinare la Grădina Zoologică din Timişoara</w:t>
      </w:r>
      <w:r>
        <w:rPr>
          <w:b/>
          <w:i/>
          <w:sz w:val="22"/>
          <w:szCs w:val="22"/>
          <w:lang w:val="ro-RO"/>
        </w:rPr>
        <w:t xml:space="preserve">, </w:t>
      </w:r>
      <w:r w:rsidRPr="004B50E8">
        <w:rPr>
          <w:sz w:val="22"/>
          <w:szCs w:val="22"/>
          <w:lang w:val="ro-RO"/>
        </w:rPr>
        <w:t xml:space="preserve">pentru o perioadă de 24 luni, este de maxim </w:t>
      </w:r>
      <w:r>
        <w:rPr>
          <w:b/>
          <w:sz w:val="22"/>
          <w:szCs w:val="22"/>
          <w:lang w:val="ro-RO"/>
        </w:rPr>
        <w:t>__________</w:t>
      </w:r>
      <w:r w:rsidRPr="004B50E8">
        <w:rPr>
          <w:sz w:val="22"/>
          <w:szCs w:val="22"/>
          <w:lang w:val="ro-RO"/>
        </w:rPr>
        <w:t xml:space="preserve"> lei, la care se adaugă TVA, format din : </w:t>
      </w:r>
    </w:p>
    <w:p w:rsidR="00BB5983" w:rsidRDefault="00BB5983" w:rsidP="00BB5983">
      <w:pPr>
        <w:jc w:val="both"/>
        <w:rPr>
          <w:sz w:val="22"/>
          <w:szCs w:val="22"/>
          <w:lang w:val="ro-RO"/>
        </w:rPr>
      </w:pPr>
    </w:p>
    <w:p w:rsidR="00BB5983" w:rsidRPr="0062416E" w:rsidRDefault="00BB5983" w:rsidP="00BB5983">
      <w:pPr>
        <w:ind w:right="-4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1.1.</w:t>
      </w:r>
      <w:r w:rsidRPr="0062416E">
        <w:rPr>
          <w:sz w:val="22"/>
          <w:szCs w:val="22"/>
          <w:lang w:val="ro-RO"/>
        </w:rPr>
        <w:t xml:space="preserve"> Ofertă preț pentru prestarea serviciilor veterinare la Grădina Zoologică din Timişoara</w:t>
      </w:r>
      <w:r w:rsidRPr="0062416E">
        <w:rPr>
          <w:b/>
          <w:sz w:val="22"/>
          <w:szCs w:val="22"/>
          <w:lang w:val="ro-RO"/>
        </w:rPr>
        <w:t xml:space="preserve"> pe baza de abonament</w:t>
      </w:r>
      <w:r w:rsidRPr="0062416E">
        <w:rPr>
          <w:sz w:val="22"/>
          <w:szCs w:val="22"/>
          <w:lang w:val="ro-RO"/>
        </w:rPr>
        <w:t xml:space="preserve"> </w:t>
      </w:r>
      <w:r w:rsidRPr="0062416E">
        <w:rPr>
          <w:b/>
          <w:sz w:val="22"/>
          <w:szCs w:val="22"/>
          <w:lang w:val="ro-RO"/>
        </w:rPr>
        <w:t xml:space="preserve">prevăzute la punctul </w:t>
      </w:r>
      <w:r>
        <w:rPr>
          <w:b/>
          <w:sz w:val="22"/>
          <w:szCs w:val="22"/>
          <w:lang w:val="ro-RO"/>
        </w:rPr>
        <w:t xml:space="preserve">3.5.1 din caietul de sarcini, </w:t>
      </w:r>
      <w:r w:rsidRPr="0062416E">
        <w:rPr>
          <w:sz w:val="22"/>
          <w:szCs w:val="22"/>
          <w:lang w:val="ro-RO"/>
        </w:rPr>
        <w:t xml:space="preserve">în sumă totală de </w:t>
      </w:r>
      <w:r w:rsidR="00D02224">
        <w:rPr>
          <w:sz w:val="22"/>
          <w:szCs w:val="22"/>
          <w:lang w:val="ro-RO"/>
        </w:rPr>
        <w:t>_______</w:t>
      </w:r>
      <w:r w:rsidRPr="0062416E">
        <w:rPr>
          <w:sz w:val="22"/>
          <w:szCs w:val="22"/>
          <w:lang w:val="ro-RO"/>
        </w:rPr>
        <w:t xml:space="preserve">și se </w:t>
      </w:r>
      <w:r w:rsidRPr="0062416E">
        <w:rPr>
          <w:rFonts w:eastAsia="Calibri"/>
          <w:sz w:val="22"/>
          <w:szCs w:val="22"/>
          <w:lang w:val="ro-RO"/>
        </w:rPr>
        <w:t>calculat astfel:</w:t>
      </w:r>
      <w:r w:rsidRPr="0062416E">
        <w:rPr>
          <w:sz w:val="22"/>
          <w:szCs w:val="22"/>
          <w:lang w:val="ro-RO"/>
        </w:rPr>
        <w:t xml:space="preserve"> </w:t>
      </w:r>
    </w:p>
    <w:p w:rsidR="00BB5983" w:rsidRPr="003B2876" w:rsidRDefault="00BB5983" w:rsidP="00BB5983">
      <w:pPr>
        <w:jc w:val="both"/>
        <w:rPr>
          <w:b/>
          <w:sz w:val="22"/>
          <w:szCs w:val="22"/>
          <w:lang w:val="ro-RO"/>
        </w:rPr>
      </w:pPr>
      <w:r w:rsidRPr="0062416E">
        <w:rPr>
          <w:sz w:val="22"/>
          <w:szCs w:val="22"/>
          <w:lang w:val="ro-RO"/>
        </w:rPr>
        <w:t xml:space="preserve">servicii abonament : ............ lei fără TVA/lună X </w:t>
      </w:r>
      <w:r w:rsidR="00FA2FF4">
        <w:rPr>
          <w:sz w:val="22"/>
          <w:szCs w:val="22"/>
          <w:lang w:val="ro-RO"/>
        </w:rPr>
        <w:t xml:space="preserve"> 24 </w:t>
      </w:r>
      <w:r w:rsidRPr="0062416E">
        <w:rPr>
          <w:sz w:val="22"/>
          <w:szCs w:val="22"/>
          <w:lang w:val="ro-RO"/>
        </w:rPr>
        <w:t>luni = .</w:t>
      </w:r>
      <w:r>
        <w:rPr>
          <w:sz w:val="22"/>
          <w:szCs w:val="22"/>
          <w:lang w:val="ro-RO"/>
        </w:rPr>
        <w:t xml:space="preserve">................. lei fără TVA, </w:t>
      </w:r>
      <w:r w:rsidRPr="003B2876">
        <w:rPr>
          <w:b/>
          <w:sz w:val="22"/>
          <w:szCs w:val="22"/>
          <w:lang w:val="ro-RO"/>
        </w:rPr>
        <w:t xml:space="preserve">care reprezintă  </w:t>
      </w:r>
      <w:r>
        <w:rPr>
          <w:b/>
          <w:sz w:val="22"/>
          <w:szCs w:val="22"/>
          <w:lang w:val="ro-RO"/>
        </w:rPr>
        <w:t xml:space="preserve">70 % din valoare totală a </w:t>
      </w:r>
      <w:r w:rsidRPr="003B2876">
        <w:rPr>
          <w:b/>
          <w:sz w:val="22"/>
          <w:szCs w:val="22"/>
          <w:lang w:val="ro-RO"/>
        </w:rPr>
        <w:t>contract</w:t>
      </w:r>
      <w:r>
        <w:rPr>
          <w:b/>
          <w:sz w:val="22"/>
          <w:szCs w:val="22"/>
          <w:lang w:val="ro-RO"/>
        </w:rPr>
        <w:t>ului</w:t>
      </w:r>
      <w:r w:rsidRPr="003B2876">
        <w:rPr>
          <w:b/>
          <w:sz w:val="22"/>
          <w:szCs w:val="22"/>
          <w:lang w:val="ro-RO"/>
        </w:rPr>
        <w:t xml:space="preserve"> fară TVA.</w:t>
      </w:r>
    </w:p>
    <w:p w:rsidR="00BB5983" w:rsidRPr="0062416E" w:rsidRDefault="00BB5983" w:rsidP="00BB5983">
      <w:pPr>
        <w:ind w:right="-40"/>
        <w:jc w:val="both"/>
        <w:rPr>
          <w:sz w:val="22"/>
          <w:szCs w:val="22"/>
          <w:lang w:val="ro-RO"/>
        </w:rPr>
      </w:pPr>
    </w:p>
    <w:p w:rsidR="00BB5983" w:rsidRDefault="00BB5983" w:rsidP="00BB5983">
      <w:p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1.2. </w:t>
      </w:r>
      <w:r w:rsidRPr="0062416E">
        <w:rPr>
          <w:sz w:val="22"/>
          <w:szCs w:val="22"/>
          <w:lang w:val="ro-RO"/>
        </w:rPr>
        <w:t xml:space="preserve"> Ofertă preț pentru prestarea serviciilor veterinare la Grădina Zoologică din Timişoara </w:t>
      </w:r>
      <w:r w:rsidRPr="0062416E">
        <w:rPr>
          <w:b/>
          <w:sz w:val="22"/>
          <w:szCs w:val="22"/>
          <w:lang w:val="ro-RO"/>
        </w:rPr>
        <w:t>pe bază de extra-abonament,</w:t>
      </w:r>
      <w:r w:rsidRPr="0062416E">
        <w:rPr>
          <w:sz w:val="22"/>
          <w:szCs w:val="22"/>
          <w:lang w:val="ro-RO"/>
        </w:rPr>
        <w:t xml:space="preserve"> </w:t>
      </w:r>
      <w:r w:rsidRPr="0062416E">
        <w:rPr>
          <w:b/>
          <w:sz w:val="22"/>
          <w:szCs w:val="22"/>
          <w:lang w:val="ro-RO"/>
        </w:rPr>
        <w:t xml:space="preserve">prevăzute la punctul </w:t>
      </w:r>
      <w:r>
        <w:rPr>
          <w:b/>
          <w:sz w:val="22"/>
          <w:szCs w:val="22"/>
          <w:lang w:val="ro-RO"/>
        </w:rPr>
        <w:t xml:space="preserve">3.5.2. din caietul de sarcini </w:t>
      </w:r>
      <w:r w:rsidRPr="0062416E">
        <w:rPr>
          <w:sz w:val="22"/>
          <w:szCs w:val="22"/>
          <w:lang w:val="ro-RO"/>
        </w:rPr>
        <w:t xml:space="preserve"> sunt ferme, se vor efectua în limita sume</w:t>
      </w:r>
      <w:r>
        <w:rPr>
          <w:sz w:val="22"/>
          <w:szCs w:val="22"/>
          <w:lang w:val="ro-RO"/>
        </w:rPr>
        <w:t xml:space="preserve">i de </w:t>
      </w:r>
      <w:r w:rsidR="00D02224">
        <w:rPr>
          <w:sz w:val="22"/>
          <w:szCs w:val="22"/>
          <w:lang w:val="ro-RO"/>
        </w:rPr>
        <w:t>__________</w:t>
      </w:r>
      <w:r>
        <w:rPr>
          <w:sz w:val="22"/>
          <w:szCs w:val="22"/>
          <w:lang w:val="ro-RO"/>
        </w:rPr>
        <w:t xml:space="preserve">lei fără TVA, care reprezintă </w:t>
      </w:r>
      <w:r w:rsidRPr="0062416E">
        <w:rPr>
          <w:sz w:val="22"/>
          <w:szCs w:val="22"/>
          <w:lang w:val="ro-RO"/>
        </w:rPr>
        <w:t xml:space="preserve">  </w:t>
      </w:r>
      <w:r>
        <w:rPr>
          <w:b/>
          <w:sz w:val="22"/>
          <w:szCs w:val="22"/>
          <w:lang w:val="ro-RO"/>
        </w:rPr>
        <w:t xml:space="preserve">30 %  din valoare totală a </w:t>
      </w:r>
      <w:r w:rsidRPr="003B2876">
        <w:rPr>
          <w:b/>
          <w:sz w:val="22"/>
          <w:szCs w:val="22"/>
          <w:lang w:val="ro-RO"/>
        </w:rPr>
        <w:t>contract</w:t>
      </w:r>
      <w:r>
        <w:rPr>
          <w:b/>
          <w:sz w:val="22"/>
          <w:szCs w:val="22"/>
          <w:lang w:val="ro-RO"/>
        </w:rPr>
        <w:t xml:space="preserve">ului fară TVA </w:t>
      </w:r>
      <w:r w:rsidRPr="0062416E">
        <w:rPr>
          <w:sz w:val="22"/>
          <w:szCs w:val="22"/>
          <w:lang w:val="ro-RO"/>
        </w:rPr>
        <w:t xml:space="preserve">și vor  cuprind următoarele servicii, examinări  și analize : </w:t>
      </w:r>
    </w:p>
    <w:p w:rsidR="00BB5983" w:rsidRPr="0062416E" w:rsidRDefault="00BB5983" w:rsidP="00BB5983">
      <w:pPr>
        <w:jc w:val="both"/>
        <w:rPr>
          <w:sz w:val="22"/>
          <w:szCs w:val="22"/>
          <w:lang w:val="ro-RO"/>
        </w:rPr>
      </w:pPr>
    </w:p>
    <w:tbl>
      <w:tblPr>
        <w:tblStyle w:val="TableGrid"/>
        <w:tblW w:w="10279" w:type="dxa"/>
        <w:tblLayout w:type="fixed"/>
        <w:tblLook w:val="04A0"/>
      </w:tblPr>
      <w:tblGrid>
        <w:gridCol w:w="959"/>
        <w:gridCol w:w="956"/>
        <w:gridCol w:w="1276"/>
        <w:gridCol w:w="4820"/>
        <w:gridCol w:w="850"/>
        <w:gridCol w:w="1418"/>
      </w:tblGrid>
      <w:tr w:rsidR="00BB5983" w:rsidRPr="0062416E" w:rsidTr="00BB5983">
        <w:tc>
          <w:tcPr>
            <w:tcW w:w="959" w:type="dxa"/>
            <w:shd w:val="clear" w:color="auto" w:fill="DAEEF3" w:themeFill="accent5" w:themeFillTint="33"/>
          </w:tcPr>
          <w:p w:rsidR="00BB5983" w:rsidRPr="0062416E" w:rsidRDefault="00BB5983" w:rsidP="00543EF4">
            <w:pPr>
              <w:tabs>
                <w:tab w:val="left" w:pos="-108"/>
              </w:tabs>
              <w:ind w:right="-108"/>
              <w:jc w:val="center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Capitol</w:t>
            </w:r>
          </w:p>
        </w:tc>
        <w:tc>
          <w:tcPr>
            <w:tcW w:w="2232" w:type="dxa"/>
            <w:gridSpan w:val="2"/>
            <w:shd w:val="clear" w:color="auto" w:fill="DAEEF3" w:themeFill="accent5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Subca</w:t>
            </w:r>
            <w:r w:rsidRPr="0062416E">
              <w:rPr>
                <w:b/>
                <w:lang w:val="ro-RO"/>
              </w:rPr>
              <w:t>pitol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center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 xml:space="preserve">Denumire servicii veterinare 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BB5983" w:rsidRPr="0062416E" w:rsidRDefault="00BB5983" w:rsidP="00543EF4">
            <w:pPr>
              <w:tabs>
                <w:tab w:val="left" w:pos="0"/>
              </w:tabs>
              <w:ind w:right="-108"/>
              <w:jc w:val="center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 xml:space="preserve">UM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BB5983" w:rsidRPr="0062416E" w:rsidRDefault="00BB5983" w:rsidP="00543EF4">
            <w:pPr>
              <w:tabs>
                <w:tab w:val="left" w:pos="0"/>
              </w:tabs>
              <w:ind w:right="-108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Pret /UM</w:t>
            </w:r>
          </w:p>
          <w:p w:rsidR="00BB5983" w:rsidRPr="0062416E" w:rsidRDefault="00BB5983" w:rsidP="00543EF4">
            <w:pPr>
              <w:tabs>
                <w:tab w:val="left" w:pos="0"/>
              </w:tabs>
              <w:ind w:right="-108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Lei fără TVA</w:t>
            </w:r>
          </w:p>
        </w:tc>
      </w:tr>
      <w:tr w:rsidR="00BB5983" w:rsidRPr="0062416E" w:rsidTr="00BB5983">
        <w:trPr>
          <w:trHeight w:val="311"/>
        </w:trPr>
        <w:tc>
          <w:tcPr>
            <w:tcW w:w="959" w:type="dxa"/>
            <w:shd w:val="clear" w:color="auto" w:fill="DAEEF3" w:themeFill="accent5" w:themeFillTint="33"/>
          </w:tcPr>
          <w:p w:rsidR="00BB5983" w:rsidRPr="0062416E" w:rsidRDefault="00BB5983" w:rsidP="00543EF4">
            <w:pPr>
              <w:ind w:right="36"/>
              <w:jc w:val="center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0</w:t>
            </w:r>
          </w:p>
        </w:tc>
        <w:tc>
          <w:tcPr>
            <w:tcW w:w="2232" w:type="dxa"/>
            <w:gridSpan w:val="2"/>
            <w:shd w:val="clear" w:color="auto" w:fill="DAEEF3" w:themeFill="accent5" w:themeFillTint="33"/>
          </w:tcPr>
          <w:p w:rsidR="00BB5983" w:rsidRPr="0062416E" w:rsidRDefault="00BB5983" w:rsidP="00543EF4">
            <w:pPr>
              <w:ind w:right="36"/>
              <w:jc w:val="center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1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BB5983" w:rsidRPr="0062416E" w:rsidRDefault="00BB5983" w:rsidP="00543EF4">
            <w:pPr>
              <w:ind w:right="36"/>
              <w:jc w:val="center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BB5983" w:rsidRPr="0062416E" w:rsidRDefault="00BB5983" w:rsidP="00543EF4">
            <w:pPr>
              <w:ind w:right="36"/>
              <w:jc w:val="center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3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BB5983" w:rsidRPr="0062416E" w:rsidRDefault="00BB5983" w:rsidP="00543EF4">
            <w:pPr>
              <w:ind w:right="36"/>
              <w:jc w:val="center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4</w:t>
            </w:r>
          </w:p>
        </w:tc>
      </w:tr>
      <w:tr w:rsidR="00BB5983" w:rsidRPr="0062416E" w:rsidTr="00BB5983">
        <w:tc>
          <w:tcPr>
            <w:tcW w:w="959" w:type="dxa"/>
            <w:shd w:val="clear" w:color="auto" w:fill="00FFFF"/>
          </w:tcPr>
          <w:p w:rsidR="00BB5983" w:rsidRPr="0062416E" w:rsidRDefault="00BB5983" w:rsidP="00543EF4">
            <w:pPr>
              <w:ind w:right="36"/>
              <w:jc w:val="both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1.2.2.</w:t>
            </w:r>
          </w:p>
        </w:tc>
        <w:tc>
          <w:tcPr>
            <w:tcW w:w="9320" w:type="dxa"/>
            <w:gridSpan w:val="5"/>
            <w:shd w:val="clear" w:color="auto" w:fill="00FFFF"/>
          </w:tcPr>
          <w:p w:rsidR="00BB5983" w:rsidRPr="0062416E" w:rsidRDefault="00BB5983" w:rsidP="00543EF4">
            <w:pPr>
              <w:ind w:right="175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SERVICIILE  VETERINARE     LUNARE  PE BAZĂ  DE EXTRA-ABONAMENT</w:t>
            </w: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ind w:right="36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shd w:val="clear" w:color="auto" w:fill="FFFFFF" w:themeFill="background1"/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1.2.2.1.</w:t>
            </w:r>
          </w:p>
        </w:tc>
        <w:tc>
          <w:tcPr>
            <w:tcW w:w="1276" w:type="dxa"/>
          </w:tcPr>
          <w:p w:rsidR="00BB5983" w:rsidRPr="0062416E" w:rsidRDefault="00BB5983" w:rsidP="00543EF4">
            <w:pPr>
              <w:ind w:right="35"/>
              <w:jc w:val="both"/>
              <w:rPr>
                <w:b/>
                <w:lang w:val="ro-RO"/>
              </w:rPr>
            </w:pPr>
          </w:p>
        </w:tc>
        <w:tc>
          <w:tcPr>
            <w:tcW w:w="4820" w:type="dxa"/>
          </w:tcPr>
          <w:p w:rsidR="00BB5983" w:rsidRPr="0062416E" w:rsidRDefault="00BB5983" w:rsidP="00543EF4">
            <w:pPr>
              <w:ind w:right="175"/>
              <w:rPr>
                <w:lang w:val="ro-RO"/>
              </w:rPr>
            </w:pPr>
            <w:r w:rsidRPr="0062416E">
              <w:rPr>
                <w:b/>
                <w:lang w:val="ro-RO"/>
              </w:rPr>
              <w:t>Servicii veterinare de urgenţă</w:t>
            </w:r>
            <w:r w:rsidRPr="0062416E">
              <w:rPr>
                <w:lang w:val="ro-RO"/>
              </w:rPr>
              <w:t xml:space="preserve">, ori de câte ori este necesar (zi sau noapte); 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ind w:right="36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ind w:right="-108"/>
              <w:jc w:val="both"/>
              <w:rPr>
                <w:lang w:val="ro-RO"/>
              </w:rPr>
            </w:pPr>
            <w:r w:rsidRPr="0062416E">
              <w:rPr>
                <w:b/>
                <w:lang w:val="ro-RO"/>
              </w:rPr>
              <w:t>1.2.2.2.</w:t>
            </w:r>
          </w:p>
        </w:tc>
        <w:tc>
          <w:tcPr>
            <w:tcW w:w="1276" w:type="dxa"/>
          </w:tcPr>
          <w:p w:rsidR="00BB5983" w:rsidRPr="0062416E" w:rsidRDefault="00BB5983" w:rsidP="00543EF4">
            <w:pPr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4820" w:type="dxa"/>
          </w:tcPr>
          <w:p w:rsidR="00BB5983" w:rsidRPr="0062416E" w:rsidRDefault="00BB5983" w:rsidP="00543EF4">
            <w:pPr>
              <w:ind w:right="175"/>
              <w:rPr>
                <w:lang w:val="ro-RO"/>
              </w:rPr>
            </w:pPr>
            <w:r w:rsidRPr="0062416E">
              <w:rPr>
                <w:b/>
                <w:lang w:val="ro-RO"/>
              </w:rPr>
              <w:t>Asistarea în caz de necesitate la fătări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ind w:right="36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shd w:val="clear" w:color="auto" w:fill="FFFFFF" w:themeFill="background1"/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b/>
                <w:lang w:val="ro-RO"/>
              </w:rPr>
              <w:t>1.2.2.3.a</w:t>
            </w:r>
          </w:p>
        </w:tc>
        <w:tc>
          <w:tcPr>
            <w:tcW w:w="1276" w:type="dxa"/>
          </w:tcPr>
          <w:p w:rsidR="00BB5983" w:rsidRPr="0062416E" w:rsidRDefault="00BB5983" w:rsidP="00543EF4">
            <w:pPr>
              <w:rPr>
                <w:b/>
                <w:lang w:val="ro-RO"/>
              </w:rPr>
            </w:pPr>
          </w:p>
        </w:tc>
        <w:tc>
          <w:tcPr>
            <w:tcW w:w="4820" w:type="dxa"/>
          </w:tcPr>
          <w:p w:rsidR="00BB5983" w:rsidRPr="0062416E" w:rsidRDefault="00BB5983" w:rsidP="00543EF4">
            <w:pPr>
              <w:ind w:right="175"/>
              <w:rPr>
                <w:lang w:val="ro-RO"/>
              </w:rPr>
            </w:pPr>
            <w:r w:rsidRPr="0062416E">
              <w:rPr>
                <w:b/>
                <w:lang w:val="ro-RO"/>
              </w:rPr>
              <w:t>Examinări post-mortem (necropsie)</w:t>
            </w:r>
            <w:r w:rsidRPr="0062416E">
              <w:rPr>
                <w:lang w:val="ro-RO"/>
              </w:rPr>
              <w:t xml:space="preserve">,  în caz de necesitate şi documentarea acestora emiterera certificatului de necropsie emis / animal </w:t>
            </w:r>
            <w:r w:rsidRPr="0062416E">
              <w:rPr>
                <w:b/>
                <w:lang w:val="ro-RO"/>
              </w:rPr>
              <w:t>din speciile de talie medie/mică</w:t>
            </w:r>
            <w:r w:rsidRPr="0062416E">
              <w:rPr>
                <w:lang w:val="ro-RO"/>
              </w:rPr>
              <w:t xml:space="preserve"> (ori pui/tineret al speciilor de talie mare);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ind w:right="36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shd w:val="clear" w:color="auto" w:fill="FFFFFF" w:themeFill="background1"/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b/>
                <w:lang w:val="ro-RO"/>
              </w:rPr>
              <w:t>1.2.2.3.b</w:t>
            </w: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0"/>
              </w:tabs>
              <w:rPr>
                <w:b/>
                <w:lang w:val="ro-RO"/>
              </w:rPr>
            </w:pP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0"/>
              </w:tabs>
              <w:ind w:right="175"/>
              <w:rPr>
                <w:lang w:val="ro-RO"/>
              </w:rPr>
            </w:pPr>
            <w:r w:rsidRPr="0062416E">
              <w:rPr>
                <w:b/>
                <w:lang w:val="ro-RO"/>
              </w:rPr>
              <w:t>Examinări post-mortem (necropsie)</w:t>
            </w:r>
            <w:r w:rsidRPr="0062416E">
              <w:rPr>
                <w:lang w:val="ro-RO"/>
              </w:rPr>
              <w:t xml:space="preserve">,  în caz de necesitate şi documentarea acestora emiterera certificatului de necropsie /animal din </w:t>
            </w:r>
            <w:r w:rsidRPr="0062416E">
              <w:rPr>
                <w:b/>
                <w:lang w:val="ro-RO"/>
              </w:rPr>
              <w:t>speciile de talie mare, adulte</w:t>
            </w:r>
            <w:r w:rsidRPr="0062416E">
              <w:rPr>
                <w:lang w:val="ro-RO"/>
              </w:rPr>
              <w:t>;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ind w:right="36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shd w:val="clear" w:color="auto" w:fill="FFFFFF" w:themeFill="background1"/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b/>
                <w:lang w:val="ro-RO"/>
              </w:rPr>
              <w:t>1.2.2.4.</w:t>
            </w:r>
          </w:p>
        </w:tc>
        <w:tc>
          <w:tcPr>
            <w:tcW w:w="1276" w:type="dxa"/>
          </w:tcPr>
          <w:p w:rsidR="00BB5983" w:rsidRPr="0062416E" w:rsidRDefault="00BB5983" w:rsidP="00543EF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820" w:type="dxa"/>
          </w:tcPr>
          <w:p w:rsidR="00BB5983" w:rsidRPr="0062416E" w:rsidRDefault="00BB5983" w:rsidP="00543EF4">
            <w:pPr>
              <w:ind w:right="175"/>
              <w:rPr>
                <w:lang w:val="ro-RO"/>
              </w:rPr>
            </w:pPr>
            <w:r w:rsidRPr="0062416E">
              <w:rPr>
                <w:b/>
                <w:lang w:val="ro-RO"/>
              </w:rPr>
              <w:t>Participarea, supravegherea sau coordonarea activităţilor de ridicare, închidere în cuşti şi transportul tuturor tipurilor de animale din colecţie în afara Grădinii Zoologice</w:t>
            </w:r>
            <w:r w:rsidRPr="0062416E">
              <w:rPr>
                <w:lang w:val="ro-RO"/>
              </w:rPr>
              <w:t>. Tehnicile de capturare şi de transport vor avea în vedere temperamentul animalului şi comportamentul de evadare pentru a minimiza rănirile, stricăciunile şi disconfortul.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ind w:right="36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shd w:val="clear" w:color="auto" w:fill="FFFFFF" w:themeFill="background1"/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b/>
                <w:lang w:val="ro-RO"/>
              </w:rPr>
              <w:t>1.2.2.5.</w:t>
            </w:r>
          </w:p>
        </w:tc>
        <w:tc>
          <w:tcPr>
            <w:tcW w:w="1276" w:type="dxa"/>
          </w:tcPr>
          <w:p w:rsidR="00BB5983" w:rsidRPr="0062416E" w:rsidRDefault="00BB5983" w:rsidP="00543EF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820" w:type="dxa"/>
          </w:tcPr>
          <w:p w:rsidR="00BB5983" w:rsidRPr="0062416E" w:rsidRDefault="00BB5983" w:rsidP="00543EF4">
            <w:pPr>
              <w:ind w:right="175"/>
              <w:rPr>
                <w:lang w:val="ro-RO"/>
              </w:rPr>
            </w:pPr>
            <w:r w:rsidRPr="0062416E">
              <w:rPr>
                <w:b/>
                <w:lang w:val="ro-RO"/>
              </w:rPr>
              <w:t>Însoţirea animalului, în vederea luării  măsurilor adecvate pentru protecţia şi bunăstarea animalului în afara Grădinii Zoologice</w:t>
            </w:r>
            <w:r w:rsidRPr="0062416E">
              <w:rPr>
                <w:lang w:val="ro-RO"/>
              </w:rPr>
              <w:t xml:space="preserve"> în situaţia necesitătăţii efectuării unor proceduri veterinare în afara grădinii.    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1.2.2.6.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ind w:right="175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 xml:space="preserve">Examen de laborator specifice: </w:t>
            </w:r>
            <w:r w:rsidRPr="0062416E">
              <w:rPr>
                <w:b/>
                <w:lang w:val="ro-RO"/>
              </w:rPr>
              <w:tab/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1.2.2.6.1.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993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Analiză microscop: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1.2.2.6.2.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Analiză urină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1.2.2.6.3.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Sediment urinar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1.2.2.6.4.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Examen serologic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1.2.2.6.5.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Test dermatofiţi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1.2.2.6.6.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Examen copro-parazitologic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1.2.2.6.7.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Antibiogramă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b/>
                <w:lang w:val="ro-RO"/>
              </w:rPr>
              <w:t>1.2.2.7.</w:t>
            </w: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Examen ecografic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b/>
                <w:lang w:val="ro-RO"/>
              </w:rPr>
              <w:t>1.2.2.8.</w:t>
            </w: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Examen radiologic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1.2.2.9.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Examen chirurgical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1.2.2.9.1.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Orhidectomie animale mari(fără anestezie)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1.2.2.9.2.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Orhidectomie animale mici(fără anestezie)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1.2.2.9.3.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Ovariohisterectomie animale mici(fără anestezie)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1.2.2.9.4.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Fractura membre anterioare animale mici(fără anestezie)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1.2.2.9.5.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Fractura membru posterior animale mici(fără anestezie)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r w:rsidRPr="0062416E">
              <w:rPr>
                <w:lang w:val="ro-RO"/>
              </w:rPr>
              <w:t>1.2.2.9.6.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993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Chiropodie sau trimajul ongloanelor şi fanerelor cu caracter profilactic la animale mari/mijlocii (fără anestezie)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1.2.2.10.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Examen stomatologic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1.2.2.10.1.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Detartraj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1.2.2.10.2.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Extracţie dentară (fără anestezie)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1.2.2.11.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Examen oftalmologie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1.2.2.11.1.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Entropion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1.2.2.11.2.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Entropion bilateral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1.2.2.11.3.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Blefarorafie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1.2.2.11.4.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Enucleatie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1.2.2.11.5.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Flap conjuctivă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1.2.2.11.6.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Intervenţii chirurgicale pe cornee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1.2.2.11.7.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Examen oftalmologic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1.2.2.11.8.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Test Schirmer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1.2.2.11.9.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Test cu floresceină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956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1.2.2.12.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b/>
                <w:lang w:val="ro-RO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b/>
                <w:lang w:val="ro-RO"/>
              </w:rPr>
            </w:pPr>
            <w:r w:rsidRPr="0062416E">
              <w:rPr>
                <w:b/>
                <w:lang w:val="ro-RO"/>
              </w:rPr>
              <w:t>Analiză biochimie şi  hematologie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1.2.2.12.1.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Profil general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1.2.2.12.2.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Calciu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1.2.2.12.3.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Amilază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1.2.2.12.4.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Fosfataza alcalină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1.2.2.12.5.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Magneziu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1.2.2.12.6.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GOT-ASAT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1.2.2.12.7.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GPT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1.2.2.12.8.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GGT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1.2.2.12.9.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Trigliceride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1.2.2.12.10.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 w:firstLine="34"/>
              <w:rPr>
                <w:lang w:val="ro-RO"/>
              </w:rPr>
            </w:pPr>
            <w:r w:rsidRPr="0062416E">
              <w:rPr>
                <w:lang w:val="ro-RO"/>
              </w:rPr>
              <w:t>Colesterol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1.2.2.12.11.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T-BIL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1.2.2.12.12.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HDL-colesterol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1.2.2.12.13.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Creatinina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1.2.2.12.14.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BUN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  <w:tr w:rsidR="00BB5983" w:rsidRPr="0062416E" w:rsidTr="00BB5983">
        <w:tc>
          <w:tcPr>
            <w:tcW w:w="959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95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-108"/>
              <w:jc w:val="both"/>
              <w:rPr>
                <w:lang w:val="ro-RO"/>
              </w:rPr>
            </w:pPr>
            <w:r w:rsidRPr="0062416E">
              <w:rPr>
                <w:lang w:val="ro-RO"/>
              </w:rPr>
              <w:t>1.2.2.12.15.</w:t>
            </w:r>
          </w:p>
        </w:tc>
        <w:tc>
          <w:tcPr>
            <w:tcW w:w="4820" w:type="dxa"/>
          </w:tcPr>
          <w:p w:rsidR="00BB5983" w:rsidRPr="0062416E" w:rsidRDefault="00BB5983" w:rsidP="00543EF4">
            <w:pPr>
              <w:tabs>
                <w:tab w:val="left" w:pos="360"/>
              </w:tabs>
              <w:ind w:right="175"/>
              <w:rPr>
                <w:lang w:val="ro-RO"/>
              </w:rPr>
            </w:pPr>
            <w:r w:rsidRPr="0062416E">
              <w:rPr>
                <w:lang w:val="ro-RO"/>
              </w:rPr>
              <w:t>Hemoleucogramă</w:t>
            </w:r>
          </w:p>
        </w:tc>
        <w:tc>
          <w:tcPr>
            <w:tcW w:w="850" w:type="dxa"/>
            <w:vAlign w:val="center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  <w:r w:rsidRPr="0062416E"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BB5983" w:rsidRPr="0062416E" w:rsidRDefault="00BB5983" w:rsidP="00543EF4">
            <w:pPr>
              <w:ind w:right="36"/>
              <w:jc w:val="center"/>
              <w:rPr>
                <w:lang w:val="ro-RO"/>
              </w:rPr>
            </w:pPr>
          </w:p>
        </w:tc>
      </w:tr>
    </w:tbl>
    <w:p w:rsidR="00BB5983" w:rsidRDefault="00BB5983" w:rsidP="00BB5983">
      <w:pPr>
        <w:ind w:firstLine="567"/>
        <w:jc w:val="both"/>
        <w:rPr>
          <w:sz w:val="22"/>
          <w:szCs w:val="22"/>
          <w:lang w:val="ro-RO"/>
        </w:rPr>
      </w:pPr>
    </w:p>
    <w:p w:rsidR="00BB5983" w:rsidRPr="0062416E" w:rsidRDefault="00BB5983" w:rsidP="00BB5983">
      <w:pPr>
        <w:ind w:firstLine="567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</w:t>
      </w:r>
      <w:r w:rsidRPr="0062416E">
        <w:rPr>
          <w:sz w:val="22"/>
          <w:szCs w:val="22"/>
          <w:lang w:val="ro-RO"/>
        </w:rPr>
        <w:t xml:space="preserve">rețurile pentru fiecare </w:t>
      </w:r>
      <w:r w:rsidR="00794533">
        <w:rPr>
          <w:sz w:val="22"/>
          <w:szCs w:val="22"/>
          <w:lang w:val="ro-RO"/>
        </w:rPr>
        <w:t>serviciu</w:t>
      </w:r>
      <w:r w:rsidRPr="0062416E">
        <w:rPr>
          <w:sz w:val="22"/>
          <w:szCs w:val="22"/>
          <w:lang w:val="ro-RO"/>
        </w:rPr>
        <w:t xml:space="preserve"> va avea inclus toate taxele (cheltuielile de transport, cheltuielile de depozitare, cheltuielile de personal sau alte taxe ocazionate de prestarea activităţilor respective, alte costuri şi componente de costuri). </w:t>
      </w:r>
    </w:p>
    <w:p w:rsidR="00BB5983" w:rsidRDefault="00BB5983" w:rsidP="00BB5983">
      <w:pPr>
        <w:tabs>
          <w:tab w:val="left" w:pos="360"/>
        </w:tabs>
        <w:ind w:right="-108"/>
        <w:jc w:val="both"/>
        <w:rPr>
          <w:b/>
          <w:sz w:val="22"/>
          <w:szCs w:val="22"/>
          <w:lang w:val="ro-RO"/>
        </w:rPr>
      </w:pPr>
    </w:p>
    <w:p w:rsidR="00BB5983" w:rsidRDefault="00BB5983" w:rsidP="00BB5983">
      <w:pPr>
        <w:tabs>
          <w:tab w:val="left" w:pos="360"/>
        </w:tabs>
        <w:ind w:right="-108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Prestator  S.C. ___________S.R.L. </w:t>
      </w:r>
    </w:p>
    <w:p w:rsidR="00BB5983" w:rsidRDefault="00BB5983" w:rsidP="00BB5983">
      <w:pPr>
        <w:tabs>
          <w:tab w:val="left" w:pos="360"/>
        </w:tabs>
        <w:ind w:right="-108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Administrator </w:t>
      </w:r>
    </w:p>
    <w:p w:rsidR="00BB5983" w:rsidRDefault="00BB5983" w:rsidP="00BB5983">
      <w:pPr>
        <w:tabs>
          <w:tab w:val="left" w:pos="360"/>
        </w:tabs>
        <w:ind w:right="-108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Numele, prenumele , semnătura</w:t>
      </w:r>
    </w:p>
    <w:p w:rsidR="00BB5983" w:rsidRPr="0062416E" w:rsidRDefault="00BB5983" w:rsidP="00794533">
      <w:pPr>
        <w:tabs>
          <w:tab w:val="left" w:pos="360"/>
        </w:tabs>
        <w:ind w:right="-108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Data </w:t>
      </w:r>
    </w:p>
    <w:sectPr w:rsidR="00BB5983" w:rsidRPr="0062416E" w:rsidSect="00D02224">
      <w:pgSz w:w="11906" w:h="16838"/>
      <w:pgMar w:top="1417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5983"/>
    <w:rsid w:val="00081762"/>
    <w:rsid w:val="000F0DE2"/>
    <w:rsid w:val="0027342D"/>
    <w:rsid w:val="0030260D"/>
    <w:rsid w:val="00381857"/>
    <w:rsid w:val="004F718E"/>
    <w:rsid w:val="005C4B0E"/>
    <w:rsid w:val="00637D66"/>
    <w:rsid w:val="007400BF"/>
    <w:rsid w:val="0074425F"/>
    <w:rsid w:val="00794533"/>
    <w:rsid w:val="0094220A"/>
    <w:rsid w:val="009E2CDE"/>
    <w:rsid w:val="00A2497C"/>
    <w:rsid w:val="00BB5983"/>
    <w:rsid w:val="00BF0FA2"/>
    <w:rsid w:val="00D02224"/>
    <w:rsid w:val="00F313FC"/>
    <w:rsid w:val="00F31708"/>
    <w:rsid w:val="00FA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9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Char">
    <w:name w:val="Heading 3 Char Char"/>
    <w:rsid w:val="00BB5983"/>
    <w:rPr>
      <w:rFonts w:ascii="Arial" w:hAnsi="Arial" w:cs="Arial"/>
      <w:b/>
      <w:bCs/>
      <w:noProof w:val="0"/>
      <w:sz w:val="22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663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vbirda</dc:creator>
  <cp:lastModifiedBy>vbirda</cp:lastModifiedBy>
  <cp:revision>5</cp:revision>
  <dcterms:created xsi:type="dcterms:W3CDTF">2020-08-17T10:07:00Z</dcterms:created>
  <dcterms:modified xsi:type="dcterms:W3CDTF">2020-08-21T09:31:00Z</dcterms:modified>
</cp:coreProperties>
</file>