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BFF5" w14:textId="6969FFE7"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elgril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14B6D" w:rsidRPr="00CA082B" w14:paraId="567F44C8" w14:textId="77777777" w:rsidTr="008D4025">
        <w:tc>
          <w:tcPr>
            <w:tcW w:w="9497" w:type="dxa"/>
          </w:tcPr>
          <w:p w14:paraId="597AE420" w14:textId="77777777"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948BCC9" w14:textId="649B83F2"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14:paraId="73759FB7" w14:textId="77777777" w:rsidTr="008D4025">
        <w:tc>
          <w:tcPr>
            <w:tcW w:w="9497" w:type="dxa"/>
          </w:tcPr>
          <w:p w14:paraId="1C91232B" w14:textId="77777777"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13E9DF7" w14:textId="0A99F441" w:rsidR="00A71140" w:rsidRPr="00A71140" w:rsidRDefault="00514B6D" w:rsidP="00A711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734C13">
              <w:rPr>
                <w:rFonts w:ascii="Times New Roman" w:hAnsi="Times New Roman" w:cs="Times New Roman"/>
              </w:rPr>
              <w:t xml:space="preserve">Funcția publică de  execuție: </w:t>
            </w:r>
            <w:r w:rsidR="00A71140" w:rsidRPr="00A711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Consilier, clasa I, gradul profesional superior cu ID 354949 în cadrul Biroul Construcții Instalații </w:t>
            </w:r>
          </w:p>
          <w:p w14:paraId="352DF613" w14:textId="2B22EEF1" w:rsidR="003367EE" w:rsidRDefault="003367EE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6B7E9DB9" w14:textId="0FF49612" w:rsidR="0014326C" w:rsidRPr="00CA082B" w:rsidRDefault="0014326C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14:paraId="321A0FEB" w14:textId="77777777" w:rsidTr="008D4025">
        <w:tc>
          <w:tcPr>
            <w:tcW w:w="9497" w:type="dxa"/>
          </w:tcPr>
          <w:p w14:paraId="7E4B8657" w14:textId="0A08A3D6" w:rsidR="004911A1" w:rsidRPr="0011166D" w:rsidRDefault="00DE4A3E" w:rsidP="00DE4A3E">
            <w:pPr>
              <w:pStyle w:val="List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1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Veți întocmi documentații  pentru </w:t>
            </w:r>
            <w:r w:rsidR="00210B96"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71140"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realizarea lucrărilor de reparații </w:t>
            </w:r>
            <w:proofErr w:type="spellStart"/>
            <w:r w:rsidR="00A71140"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şi</w:t>
            </w:r>
            <w:proofErr w:type="spellEnd"/>
            <w:r w:rsidR="00A71140"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E97D9F"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investiții</w:t>
            </w:r>
            <w:r w:rsidR="00A71140"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pentru clădirile </w:t>
            </w:r>
            <w:r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din </w:t>
            </w:r>
            <w:r w:rsidR="00A71140"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patrimoniul municipiului Timișoara</w:t>
            </w:r>
          </w:p>
          <w:p w14:paraId="625246DD" w14:textId="47E752CA" w:rsidR="00DE4A3E" w:rsidRPr="0011166D" w:rsidRDefault="00DE4A3E" w:rsidP="00DE4A3E">
            <w:pPr>
              <w:pStyle w:val="List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Veți stabili necesarul de lucrări de reparații;</w:t>
            </w:r>
          </w:p>
          <w:p w14:paraId="08820B6F" w14:textId="58DCB172" w:rsidR="00DE4A3E" w:rsidRPr="0011166D" w:rsidRDefault="00DE4A3E" w:rsidP="00DE4A3E">
            <w:pPr>
              <w:pStyle w:val="List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16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Veți propune o ordine de priorități pentru  reparațiile stabilite ca necesare</w:t>
            </w:r>
          </w:p>
          <w:p w14:paraId="2565166D" w14:textId="22930C4C" w:rsidR="00A71140" w:rsidRPr="00CF3C42" w:rsidRDefault="00A71140" w:rsidP="00D238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14:paraId="33AB56DA" w14:textId="77777777" w:rsidTr="008D4025">
        <w:tc>
          <w:tcPr>
            <w:tcW w:w="9497" w:type="dxa"/>
          </w:tcPr>
          <w:p w14:paraId="3C361CDF" w14:textId="5433FC22"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14:paraId="242F7D6A" w14:textId="77777777" w:rsidR="0014326C" w:rsidRPr="0014326C" w:rsidRDefault="0014326C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Studii universitare </w:t>
            </w:r>
            <w:r w:rsidRPr="0014326C">
              <w:rPr>
                <w:rFonts w:ascii="Times New Roman" w:eastAsia="Calibri" w:hAnsi="Times New Roman" w:cs="Times New Roman"/>
                <w:color w:val="000000"/>
              </w:rPr>
              <w:t>de licență  absolvite cu diplomă de licență  sau echivalentă în una din specializările cuprinse în  domeniul de licență:</w:t>
            </w:r>
            <w:r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inginerie civilă;</w:t>
            </w:r>
          </w:p>
          <w:p w14:paraId="54406960" w14:textId="328CE82E"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</w:t>
            </w:r>
            <w:proofErr w:type="spellStart"/>
            <w:r w:rsidRPr="00664A13">
              <w:rPr>
                <w:rFonts w:ascii="Times New Roman" w:eastAsia="Calibri" w:hAnsi="Times New Roman" w:cs="Times New Roman"/>
                <w:color w:val="000000"/>
              </w:rPr>
              <w:t>şi</w:t>
            </w:r>
            <w:proofErr w:type="spellEnd"/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nivel): </w:t>
            </w:r>
            <w:r w:rsid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----;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14:paraId="6A4DC828" w14:textId="740982D4"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10B96">
              <w:rPr>
                <w:rFonts w:ascii="Times New Roman" w:eastAsia="Calibri" w:hAnsi="Times New Roman" w:cs="Times New Roman"/>
                <w:color w:val="000000"/>
              </w:rPr>
              <w:t xml:space="preserve">Limbi străine (necesitate </w:t>
            </w:r>
            <w:proofErr w:type="spellStart"/>
            <w:r w:rsidRPr="00210B96">
              <w:rPr>
                <w:rFonts w:ascii="Times New Roman" w:eastAsia="Calibri" w:hAnsi="Times New Roman" w:cs="Times New Roman"/>
                <w:color w:val="000000"/>
              </w:rPr>
              <w:t>şi</w:t>
            </w:r>
            <w:proofErr w:type="spellEnd"/>
            <w:r w:rsidRPr="00210B96">
              <w:rPr>
                <w:rFonts w:ascii="Times New Roman" w:eastAsia="Calibri" w:hAnsi="Times New Roman" w:cs="Times New Roman"/>
                <w:color w:val="000000"/>
              </w:rPr>
              <w:t xml:space="preserve"> nivel de cunoaștere ): </w:t>
            </w:r>
            <w:r w:rsid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----;</w:t>
            </w:r>
          </w:p>
          <w:p w14:paraId="3E8D6E76" w14:textId="06FBF51A" w:rsidR="00FB08C7" w:rsidRDefault="00664A13" w:rsidP="00FB08C7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Vechime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în specialitatea studiilor necesare exercitării funcției publice: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minimum </w:t>
            </w:r>
            <w:r w:rsidR="00E97D9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7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an</w:t>
            </w:r>
            <w:r w:rsidR="00E97D9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i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5A81767C" w14:textId="7FC8345A" w:rsidR="00374FE6" w:rsidRPr="00112E30" w:rsidRDefault="00374FE6" w:rsidP="00374FE6">
            <w:pPr>
              <w:ind w:left="14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6303" w:rsidRPr="00CA082B" w14:paraId="68708A58" w14:textId="77777777" w:rsidTr="008D4025">
        <w:tc>
          <w:tcPr>
            <w:tcW w:w="9497" w:type="dxa"/>
            <w:tcBorders>
              <w:bottom w:val="single" w:sz="4" w:space="0" w:color="auto"/>
            </w:tcBorders>
          </w:tcPr>
          <w:p w14:paraId="7CB6016C" w14:textId="77777777"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14:paraId="51709E2A" w14:textId="1D846F7E"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14:paraId="481E60AF" w14:textId="77777777" w:rsidTr="0014326C">
        <w:tc>
          <w:tcPr>
            <w:tcW w:w="9497" w:type="dxa"/>
            <w:tcBorders>
              <w:bottom w:val="single" w:sz="4" w:space="0" w:color="auto"/>
            </w:tcBorders>
          </w:tcPr>
          <w:p w14:paraId="09C3F3A4" w14:textId="77777777"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14:paraId="22DE234A" w14:textId="5F76316F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14:paraId="54CDE8C2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14:paraId="155A6697" w14:textId="2A464093" w:rsidR="009E0676" w:rsidRPr="00112E30" w:rsidRDefault="00896303" w:rsidP="00FB119F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14:paraId="7CA8E5BA" w14:textId="77777777" w:rsidTr="0014326C"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14:paraId="18CA5195" w14:textId="77777777" w:rsidR="006C5352" w:rsidRPr="0011166D" w:rsidRDefault="00896303" w:rsidP="00E97D9F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</w:p>
          <w:p w14:paraId="6F17BC8A" w14:textId="03D83733" w:rsidR="0011166D" w:rsidRPr="00E97D9F" w:rsidRDefault="0011166D" w:rsidP="0011166D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B119F" w:rsidRPr="00CA082B" w14:paraId="12970A94" w14:textId="77777777" w:rsidTr="0014326C">
        <w:tc>
          <w:tcPr>
            <w:tcW w:w="9497" w:type="dxa"/>
            <w:tcBorders>
              <w:top w:val="nil"/>
              <w:bottom w:val="nil"/>
            </w:tcBorders>
          </w:tcPr>
          <w:p w14:paraId="27F09A47" w14:textId="6E300244" w:rsidR="00FB119F" w:rsidRPr="00CA082B" w:rsidRDefault="00FB119F" w:rsidP="00FB119F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Pr="00CA082B">
              <w:t xml:space="preserve"> </w:t>
            </w:r>
          </w:p>
          <w:p w14:paraId="28CB5391" w14:textId="77777777"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14:paraId="5A168C05" w14:textId="7566CFC8"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14:paraId="043E3082" w14:textId="4C8F5E04"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instituției- Bd. </w:t>
            </w:r>
            <w:proofErr w:type="spellStart"/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C.D.Loga</w:t>
            </w:r>
            <w:proofErr w:type="spellEnd"/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nr.1 </w:t>
            </w:r>
          </w:p>
          <w:p w14:paraId="3E203A3B" w14:textId="3FFF53C8"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14:paraId="1A22AEC5" w14:textId="77777777" w:rsidR="0014326C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  <w:r w:rsidR="0011166D">
              <w:rPr>
                <w:rFonts w:ascii="Times New Roman" w:hAnsi="Times New Roman" w:cs="Times New Roman"/>
              </w:rPr>
              <w:t>.</w:t>
            </w:r>
          </w:p>
          <w:p w14:paraId="2AA838C8" w14:textId="6F7C99BC" w:rsidR="0011166D" w:rsidRPr="00CA082B" w:rsidRDefault="0011166D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9F" w:rsidRPr="00CA082B" w14:paraId="3779782B" w14:textId="77777777" w:rsidTr="008D4025">
        <w:tc>
          <w:tcPr>
            <w:tcW w:w="9497" w:type="dxa"/>
            <w:tcBorders>
              <w:top w:val="nil"/>
            </w:tcBorders>
          </w:tcPr>
          <w:p w14:paraId="068F9DB2" w14:textId="77777777" w:rsidR="00FB119F" w:rsidRPr="00CA082B" w:rsidRDefault="00FB119F" w:rsidP="00FB119F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14:paraId="27171FD3" w14:textId="07816ADD" w:rsidR="00FB119F" w:rsidRPr="00A7070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14:paraId="50F9AA41" w14:textId="77777777" w:rsidR="00FB119F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scrise.</w:t>
            </w:r>
          </w:p>
          <w:p w14:paraId="477D92E7" w14:textId="15055196" w:rsidR="004911A1" w:rsidRPr="00CA082B" w:rsidRDefault="004911A1" w:rsidP="00FB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9F" w:rsidRPr="00CA082B" w14:paraId="649FFBE6" w14:textId="77777777" w:rsidTr="008D4025">
        <w:tc>
          <w:tcPr>
            <w:tcW w:w="9497" w:type="dxa"/>
          </w:tcPr>
          <w:p w14:paraId="74926C96" w14:textId="1CC7D7E7" w:rsidR="00FB119F" w:rsidRPr="00CA082B" w:rsidRDefault="00FB119F" w:rsidP="00FB119F">
            <w:pPr>
              <w:pStyle w:val="Listparagra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Bibliografia și tematica de concurs</w:t>
            </w:r>
          </w:p>
          <w:p w14:paraId="3762F637" w14:textId="77777777"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14:paraId="6A8C7BD0" w14:textId="77777777" w:rsidR="00FB119F" w:rsidRPr="00FD6B75" w:rsidRDefault="00FB119F" w:rsidP="00FB119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României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2A76C09E" w14:textId="77777777"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Titlul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II ale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părţii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VI-a din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57/2019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Codul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administrative,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28C83003" w14:textId="77777777"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137/2000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prevenirea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sancționarea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tuturor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formelor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discriminare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22E6A8ED" w14:textId="25904C37" w:rsidR="00FB119F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202/2002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egalitatea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șanse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tratament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între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femei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bărbați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2BC89FBE" w14:textId="4AA4F39F" w:rsidR="00DE4A3E" w:rsidRDefault="00DE4A3E" w:rsidP="00DE4A3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522EC0F" w14:textId="77777777" w:rsidR="00DE4A3E" w:rsidRDefault="00DE4A3E" w:rsidP="00DE4A3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5EB4AAB" w14:textId="77777777"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14:paraId="452793CE" w14:textId="1A5E27FF" w:rsidR="00E97D9F" w:rsidRPr="00E97D9F" w:rsidRDefault="00E97D9F" w:rsidP="00E97D9F">
            <w:pPr>
              <w:pStyle w:val="List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Hotărârea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nr. 907 / 2016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etapele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elaborare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conţinutul-cadru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al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documentaţiilor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tehnico-economice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aferente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obiectivelor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proiectelor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investiţii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finanţate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din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fonduri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publice</w:t>
            </w:r>
            <w:proofErr w:type="spellEnd"/>
          </w:p>
          <w:p w14:paraId="76485562" w14:textId="77777777" w:rsidR="00E97D9F" w:rsidRDefault="00E97D9F" w:rsidP="00E97D9F">
            <w:pPr>
              <w:pStyle w:val="List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nr.10/1995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calitatea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în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14:paraId="3B91A16C" w14:textId="6CD9B02B" w:rsidR="0014326C" w:rsidRPr="00E97D9F" w:rsidRDefault="00E97D9F" w:rsidP="00E97D9F">
            <w:pPr>
              <w:pStyle w:val="List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HG 273/1994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aprobarea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Regulamentului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recepţie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lucrărilor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instalaţii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aferente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acestora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7D9F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E97D9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14:paraId="7CD2746D" w14:textId="77777777" w:rsidR="0014326C" w:rsidRDefault="0014326C" w:rsidP="00FB119F">
            <w:pPr>
              <w:jc w:val="both"/>
              <w:rPr>
                <w:rFonts w:ascii="Times New Roman" w:hAnsi="Times New Roman" w:cs="Times New Roman"/>
              </w:rPr>
            </w:pPr>
          </w:p>
          <w:p w14:paraId="0A07B463" w14:textId="30C96678" w:rsidR="00FB119F" w:rsidRPr="008D402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</w:tc>
      </w:tr>
      <w:tr w:rsidR="00FB119F" w:rsidRPr="009D60BD" w14:paraId="3DF57E16" w14:textId="77777777" w:rsidTr="008D4025">
        <w:tc>
          <w:tcPr>
            <w:tcW w:w="9497" w:type="dxa"/>
          </w:tcPr>
          <w:p w14:paraId="7EF061B9" w14:textId="77777777" w:rsidR="00FB119F" w:rsidRPr="009D60BD" w:rsidRDefault="00FB119F" w:rsidP="00FB119F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7E37128" w14:textId="20768C48" w:rsidR="00FB119F" w:rsidRPr="009D60BD" w:rsidRDefault="00FB119F" w:rsidP="00FB119F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Atribuții specifice</w:t>
            </w:r>
          </w:p>
          <w:p w14:paraId="4C7F01EF" w14:textId="77777777" w:rsidR="00E97D9F" w:rsidRPr="00CA7E3C" w:rsidRDefault="00F71E03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E97D9F" w:rsidRPr="00CA7E3C">
              <w:rPr>
                <w:rFonts w:ascii="Times New Roman" w:eastAsia="Times New Roman" w:hAnsi="Times New Roman" w:cs="Times New Roman"/>
                <w:lang w:eastAsia="en-GB"/>
              </w:rPr>
              <w:t>Stabileşte</w:t>
            </w:r>
            <w:proofErr w:type="spellEnd"/>
            <w:r w:rsidR="00E97D9F" w:rsidRPr="00CA7E3C">
              <w:rPr>
                <w:rFonts w:ascii="Times New Roman" w:eastAsia="Times New Roman" w:hAnsi="Times New Roman" w:cs="Times New Roman"/>
                <w:lang w:eastAsia="en-GB"/>
              </w:rPr>
              <w:t xml:space="preserve"> anual necesarul de </w:t>
            </w:r>
            <w:proofErr w:type="spellStart"/>
            <w:r w:rsidR="00E97D9F" w:rsidRPr="00CA7E3C">
              <w:rPr>
                <w:rFonts w:ascii="Times New Roman" w:eastAsia="Times New Roman" w:hAnsi="Times New Roman" w:cs="Times New Roman"/>
                <w:lang w:eastAsia="en-GB"/>
              </w:rPr>
              <w:t>reparaţii</w:t>
            </w:r>
            <w:proofErr w:type="spellEnd"/>
            <w:r w:rsidR="00E97D9F" w:rsidRPr="00CA7E3C">
              <w:rPr>
                <w:rFonts w:ascii="Times New Roman" w:eastAsia="Times New Roman" w:hAnsi="Times New Roman" w:cs="Times New Roman"/>
                <w:lang w:eastAsia="en-GB"/>
              </w:rPr>
              <w:t xml:space="preserve"> aferent patrimoniului gestionat la nivelul municipiului;</w:t>
            </w:r>
          </w:p>
          <w:p w14:paraId="3F7A032B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Stabileşte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priorităţile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reparaţii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la obiectivele patrimoniului gestionat la nivelul municipiului;</w:t>
            </w:r>
          </w:p>
          <w:p w14:paraId="46D85E30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Elaborează planul tehnic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reparaţii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investiţii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aferent patrimoniului gestionat la nivelul municipiului;</w:t>
            </w:r>
          </w:p>
          <w:p w14:paraId="75A241E8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Pregăteşte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documentaţia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tehnică premergătoare, necesară demarării procedurilor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achiziţii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publice – servicii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lucrări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investiţii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reparaţii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(teme de proiectare, caiete de sarcini, note de estimare, angajament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propunere,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cerinţe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minime privind capacitatea tehnică a operatorilor economici, nota justificativă privind fundamentarea acestora, strategia de contractare etc.), în limitele de 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competenţă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ale biroului; </w:t>
            </w:r>
          </w:p>
          <w:p w14:paraId="6CC765C1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Stabileşte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, in baza analizelor efectuate,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priorităţile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de dezvoltare a patrimoniului gestionat, în limitele de 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competenţă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ale biroului;</w:t>
            </w:r>
          </w:p>
          <w:p w14:paraId="38977C59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Urmăreşte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verifică pe teren lucrările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reparaţii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investiţii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la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construcţii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pe faze determinante, conform Normativelor in vigoare 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Legii nr. 10/1995 privind calitatea în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construcţii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,  a prestărilor de servicii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intervenţii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(în cazul avariilor), pentru obiective de locuit,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instituţii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învăţământ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sau de interes local (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locuinţe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spaţii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cu altă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destinaţie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, spitale),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finanţate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de la bugetul local sau bugetul de stat;</w:t>
            </w:r>
          </w:p>
          <w:p w14:paraId="268A3714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Preia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informaţii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înştiinţează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factorii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implicaţi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în luarea deciziilor in cazuri de accidente tehnice, controlează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constată modul de derulare a lucrărilor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intervenţie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, informează prin Notă informativă sau referat;</w:t>
            </w:r>
          </w:p>
          <w:p w14:paraId="1F6FBE74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Organizează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recepţionarea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lucrărilor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reparaţii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investiţii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pentru: obiective de locuit,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instituţii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învăţământ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sau de interes local (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locuinţe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spaţii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cu altă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destinaţie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, spitale),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finanţate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de la bugetul local sau bugetul de stat, specificate in planul tehnic;</w:t>
            </w:r>
          </w:p>
          <w:p w14:paraId="1CEA26DC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Colaborează cu celelalte compartimente de specialitate în vederea realizării obiectivelor biroului;</w:t>
            </w:r>
          </w:p>
          <w:p w14:paraId="5DE17AAB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Constată starea tehnică a obiectivelor ce se încadrează la obiectul de activitate al biroului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transmite concluziile, prin referat sau notă de constatare, către compartimentele cu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atribuţii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specifice în vederea  luării măsurilor ce se impun (demolări, deteriorări constructive datorate unor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intervenţii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neautorizate etc.);</w:t>
            </w:r>
          </w:p>
          <w:p w14:paraId="2E2BED88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Constată faptele ce contravin normelor legale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le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sancţionează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, în limitele stabilite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legislaţia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în vigoare;</w:t>
            </w:r>
          </w:p>
          <w:p w14:paraId="66443419" w14:textId="77777777" w:rsidR="00E97D9F" w:rsidRPr="00E97D9F" w:rsidRDefault="00E97D9F" w:rsidP="00E97D9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Constată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urmăreşte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rezolvarea problemelor sesizate de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terţi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în limita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competenţelor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biroului; precum și </w:t>
            </w:r>
            <w:proofErr w:type="spellStart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>reclamaţiilor</w:t>
            </w:r>
            <w:proofErr w:type="spellEnd"/>
            <w:r w:rsidRPr="00E97D9F">
              <w:rPr>
                <w:rFonts w:ascii="Times New Roman" w:eastAsia="Times New Roman" w:hAnsi="Times New Roman" w:cs="Times New Roman"/>
                <w:lang w:eastAsia="en-GB"/>
              </w:rPr>
              <w:t xml:space="preserve"> repartizate de superiorul ierarhic.  </w:t>
            </w:r>
          </w:p>
          <w:p w14:paraId="6D38FAAC" w14:textId="0769127A" w:rsidR="00FB119F" w:rsidRPr="00476721" w:rsidRDefault="00FB119F" w:rsidP="00E97D9F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it-IT" w:bidi="en-US"/>
              </w:rPr>
            </w:pPr>
          </w:p>
        </w:tc>
      </w:tr>
    </w:tbl>
    <w:p w14:paraId="5938F9F3" w14:textId="2FBBDFAC" w:rsidR="008279FD" w:rsidRPr="009D60BD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9D60BD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C123C"/>
    <w:multiLevelType w:val="multilevel"/>
    <w:tmpl w:val="0AA4A1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854676"/>
    <w:multiLevelType w:val="hybridMultilevel"/>
    <w:tmpl w:val="2EF6184C"/>
    <w:lvl w:ilvl="0" w:tplc="168E9A9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041B02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968" w:hanging="360"/>
      </w:pPr>
    </w:lvl>
    <w:lvl w:ilvl="2" w:tplc="FFFFFFFF">
      <w:start w:val="1"/>
      <w:numFmt w:val="lowerRoman"/>
      <w:lvlText w:val="%3."/>
      <w:lvlJc w:val="right"/>
      <w:pPr>
        <w:ind w:left="2688" w:hanging="180"/>
      </w:pPr>
    </w:lvl>
    <w:lvl w:ilvl="3" w:tplc="FFFFFFFF">
      <w:start w:val="1"/>
      <w:numFmt w:val="decimal"/>
      <w:lvlText w:val="%4."/>
      <w:lvlJc w:val="left"/>
      <w:pPr>
        <w:ind w:left="3408" w:hanging="360"/>
      </w:pPr>
    </w:lvl>
    <w:lvl w:ilvl="4" w:tplc="FFFFFFFF">
      <w:start w:val="1"/>
      <w:numFmt w:val="lowerLetter"/>
      <w:lvlText w:val="%5."/>
      <w:lvlJc w:val="left"/>
      <w:pPr>
        <w:ind w:left="4128" w:hanging="360"/>
      </w:pPr>
    </w:lvl>
    <w:lvl w:ilvl="5" w:tplc="FFFFFFFF">
      <w:start w:val="1"/>
      <w:numFmt w:val="lowerRoman"/>
      <w:lvlText w:val="%6."/>
      <w:lvlJc w:val="right"/>
      <w:pPr>
        <w:ind w:left="4848" w:hanging="180"/>
      </w:pPr>
    </w:lvl>
    <w:lvl w:ilvl="6" w:tplc="FFFFFFFF">
      <w:start w:val="1"/>
      <w:numFmt w:val="decimal"/>
      <w:lvlText w:val="%7."/>
      <w:lvlJc w:val="left"/>
      <w:pPr>
        <w:ind w:left="5568" w:hanging="360"/>
      </w:pPr>
    </w:lvl>
    <w:lvl w:ilvl="7" w:tplc="FFFFFFFF">
      <w:start w:val="1"/>
      <w:numFmt w:val="lowerLetter"/>
      <w:lvlText w:val="%8."/>
      <w:lvlJc w:val="left"/>
      <w:pPr>
        <w:ind w:left="6288" w:hanging="360"/>
      </w:pPr>
    </w:lvl>
    <w:lvl w:ilvl="8" w:tplc="FFFFFFFF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28213E46"/>
    <w:multiLevelType w:val="hybridMultilevel"/>
    <w:tmpl w:val="BA3C2ED6"/>
    <w:lvl w:ilvl="0" w:tplc="3538E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3ED48C0"/>
    <w:multiLevelType w:val="hybridMultilevel"/>
    <w:tmpl w:val="5CB612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537C3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FFFFFFFF">
      <w:start w:val="1"/>
      <w:numFmt w:val="lowerLetter"/>
      <w:lvlText w:val="%2."/>
      <w:lvlJc w:val="left"/>
      <w:pPr>
        <w:ind w:left="2037" w:hanging="360"/>
      </w:pPr>
    </w:lvl>
    <w:lvl w:ilvl="2" w:tplc="FFFFFFFF">
      <w:start w:val="1"/>
      <w:numFmt w:val="lowerRoman"/>
      <w:lvlText w:val="%3."/>
      <w:lvlJc w:val="right"/>
      <w:pPr>
        <w:ind w:left="2757" w:hanging="180"/>
      </w:pPr>
    </w:lvl>
    <w:lvl w:ilvl="3" w:tplc="FFFFFFFF">
      <w:start w:val="1"/>
      <w:numFmt w:val="decimal"/>
      <w:lvlText w:val="%4."/>
      <w:lvlJc w:val="left"/>
      <w:pPr>
        <w:ind w:left="3477" w:hanging="360"/>
      </w:pPr>
    </w:lvl>
    <w:lvl w:ilvl="4" w:tplc="FFFFFFFF">
      <w:start w:val="1"/>
      <w:numFmt w:val="lowerLetter"/>
      <w:lvlText w:val="%5."/>
      <w:lvlJc w:val="left"/>
      <w:pPr>
        <w:ind w:left="4197" w:hanging="360"/>
      </w:pPr>
    </w:lvl>
    <w:lvl w:ilvl="5" w:tplc="FFFFFFFF">
      <w:start w:val="1"/>
      <w:numFmt w:val="lowerRoman"/>
      <w:lvlText w:val="%6."/>
      <w:lvlJc w:val="right"/>
      <w:pPr>
        <w:ind w:left="4917" w:hanging="180"/>
      </w:pPr>
    </w:lvl>
    <w:lvl w:ilvl="6" w:tplc="FFFFFFFF">
      <w:start w:val="1"/>
      <w:numFmt w:val="decimal"/>
      <w:lvlText w:val="%7."/>
      <w:lvlJc w:val="left"/>
      <w:pPr>
        <w:ind w:left="5637" w:hanging="360"/>
      </w:pPr>
    </w:lvl>
    <w:lvl w:ilvl="7" w:tplc="FFFFFFFF">
      <w:start w:val="1"/>
      <w:numFmt w:val="lowerLetter"/>
      <w:lvlText w:val="%8."/>
      <w:lvlJc w:val="left"/>
      <w:pPr>
        <w:ind w:left="6357" w:hanging="360"/>
      </w:pPr>
    </w:lvl>
    <w:lvl w:ilvl="8" w:tplc="FFFFFFFF">
      <w:start w:val="1"/>
      <w:numFmt w:val="lowerRoman"/>
      <w:lvlText w:val="%9."/>
      <w:lvlJc w:val="right"/>
      <w:pPr>
        <w:ind w:left="7077" w:hanging="180"/>
      </w:pPr>
    </w:lvl>
  </w:abstractNum>
  <w:abstractNum w:abstractNumId="19" w15:restartNumberingAfterBreak="0">
    <w:nsid w:val="56681918"/>
    <w:multiLevelType w:val="hybridMultilevel"/>
    <w:tmpl w:val="65803A90"/>
    <w:lvl w:ilvl="0" w:tplc="A1C45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333EBD"/>
    <w:multiLevelType w:val="hybridMultilevel"/>
    <w:tmpl w:val="2A5C62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2A42C1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2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11"/>
  </w:num>
  <w:num w:numId="10">
    <w:abstractNumId w:val="6"/>
  </w:num>
  <w:num w:numId="11">
    <w:abstractNumId w:val="24"/>
  </w:num>
  <w:num w:numId="12">
    <w:abstractNumId w:val="1"/>
  </w:num>
  <w:num w:numId="13">
    <w:abstractNumId w:val="5"/>
  </w:num>
  <w:num w:numId="14">
    <w:abstractNumId w:val="12"/>
  </w:num>
  <w:num w:numId="15">
    <w:abstractNumId w:val="20"/>
  </w:num>
  <w:num w:numId="16">
    <w:abstractNumId w:val="7"/>
  </w:num>
  <w:num w:numId="17">
    <w:abstractNumId w:val="3"/>
  </w:num>
  <w:num w:numId="18">
    <w:abstractNumId w:val="18"/>
  </w:num>
  <w:num w:numId="19">
    <w:abstractNumId w:val="19"/>
  </w:num>
  <w:num w:numId="20">
    <w:abstractNumId w:val="9"/>
  </w:num>
  <w:num w:numId="21">
    <w:abstractNumId w:val="2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01"/>
    <w:rsid w:val="000877CA"/>
    <w:rsid w:val="00103340"/>
    <w:rsid w:val="0011166D"/>
    <w:rsid w:val="00112E30"/>
    <w:rsid w:val="001219C5"/>
    <w:rsid w:val="0014326C"/>
    <w:rsid w:val="00180CC8"/>
    <w:rsid w:val="001A450F"/>
    <w:rsid w:val="00210B96"/>
    <w:rsid w:val="00221301"/>
    <w:rsid w:val="0026126C"/>
    <w:rsid w:val="002A0AE5"/>
    <w:rsid w:val="003367EE"/>
    <w:rsid w:val="00360100"/>
    <w:rsid w:val="00374FE6"/>
    <w:rsid w:val="003820C4"/>
    <w:rsid w:val="00382B5A"/>
    <w:rsid w:val="003E0264"/>
    <w:rsid w:val="004252B8"/>
    <w:rsid w:val="00427C1A"/>
    <w:rsid w:val="00476721"/>
    <w:rsid w:val="004911A1"/>
    <w:rsid w:val="00506B4D"/>
    <w:rsid w:val="0051155C"/>
    <w:rsid w:val="00514B6D"/>
    <w:rsid w:val="00577BAB"/>
    <w:rsid w:val="005C5C4F"/>
    <w:rsid w:val="006351A9"/>
    <w:rsid w:val="00664A13"/>
    <w:rsid w:val="006C5352"/>
    <w:rsid w:val="006D1DCA"/>
    <w:rsid w:val="00734C13"/>
    <w:rsid w:val="00754EB3"/>
    <w:rsid w:val="00757141"/>
    <w:rsid w:val="00763FB2"/>
    <w:rsid w:val="00783A19"/>
    <w:rsid w:val="007A7555"/>
    <w:rsid w:val="008262F2"/>
    <w:rsid w:val="008279FD"/>
    <w:rsid w:val="00835851"/>
    <w:rsid w:val="0084732E"/>
    <w:rsid w:val="0087353C"/>
    <w:rsid w:val="00873936"/>
    <w:rsid w:val="00896303"/>
    <w:rsid w:val="008A437D"/>
    <w:rsid w:val="008D4025"/>
    <w:rsid w:val="00904CFC"/>
    <w:rsid w:val="00920DEA"/>
    <w:rsid w:val="0096494B"/>
    <w:rsid w:val="0097142B"/>
    <w:rsid w:val="00972379"/>
    <w:rsid w:val="009B4DCB"/>
    <w:rsid w:val="009D60BD"/>
    <w:rsid w:val="009E0676"/>
    <w:rsid w:val="00A24473"/>
    <w:rsid w:val="00A25444"/>
    <w:rsid w:val="00A40182"/>
    <w:rsid w:val="00A70705"/>
    <w:rsid w:val="00A71140"/>
    <w:rsid w:val="00AA0EEA"/>
    <w:rsid w:val="00B919E8"/>
    <w:rsid w:val="00C4450B"/>
    <w:rsid w:val="00C50D5D"/>
    <w:rsid w:val="00CA082B"/>
    <w:rsid w:val="00CB2C04"/>
    <w:rsid w:val="00CF3C42"/>
    <w:rsid w:val="00D238D4"/>
    <w:rsid w:val="00D5352B"/>
    <w:rsid w:val="00DE26CA"/>
    <w:rsid w:val="00DE4A3E"/>
    <w:rsid w:val="00E06273"/>
    <w:rsid w:val="00E310F7"/>
    <w:rsid w:val="00E85A1F"/>
    <w:rsid w:val="00E97D9F"/>
    <w:rsid w:val="00F34B8E"/>
    <w:rsid w:val="00F71E03"/>
    <w:rsid w:val="00F86622"/>
    <w:rsid w:val="00FB08C7"/>
    <w:rsid w:val="00FB119F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6CCE"/>
  <w15:chartTrackingRefBased/>
  <w15:docId w15:val="{DEF8D4EF-312D-4DF1-A155-3D356D10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elgril">
    <w:name w:val="Table Grid"/>
    <w:basedOn w:val="TabelNormal"/>
    <w:uiPriority w:val="39"/>
    <w:rsid w:val="005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8262F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monica.pfeifer@gmail.com</cp:lastModifiedBy>
  <cp:revision>5</cp:revision>
  <dcterms:created xsi:type="dcterms:W3CDTF">2021-11-28T21:14:00Z</dcterms:created>
  <dcterms:modified xsi:type="dcterms:W3CDTF">2021-11-30T11:40:00Z</dcterms:modified>
</cp:coreProperties>
</file>